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Relatório de atividades</w:t>
      </w:r>
    </w:p>
    <w:p>
      <w:pPr>
        <w:pStyle w:val="Subtitle"/>
      </w:pPr>
      <w:r>
        <w:t>Conclusão da primeira semana do projeto DTF</w:t>
      </w:r>
    </w:p>
    <w:p>
      <w:r>
        <w:t>Desde sexta-feira, avançamos na implantação da infraestrutura, na preparação do fluxo de envio de arquivos e nos ajustes da experiência do cliente no Site DTF. Com a confirmação da equipe sobre o funcionamento dos itens de infraestrutura e operação, consideramos concluída a primeira semana do projeto, dedicada à infraestrutura, aos uploads e à base dos serviços.</w:t>
      </w:r>
    </w:p>
    <w:p>
      <w:pPr>
        <w:pStyle w:val="Heading1"/>
      </w:pPr>
      <w:r>
        <w:t>Infraestrutura e publicação</w:t>
      </w:r>
    </w:p>
    <w:p>
      <w:r>
        <w:t>Organizamos a estrutura que sustenta o Site DTF, o Kanban, a API, o banco de dados, o processamento em segundo plano e o antivírus, com armazenamento dos arquivos no Cloudflare R2.</w:t>
      </w:r>
    </w:p>
    <w:p>
      <w:r>
        <w:t>Também ajustamos a configuração de publicação pelo Gitea e pelo Portainer. Foram corrigidos problemas de inicialização dos serviços web e de comunicação durante a atualização da API, aumentando a estabilidade das publicações.</w:t>
      </w:r>
    </w:p>
    <w:p>
      <w:r>
        <w:t>Na configuração do banco de dados, corrigimos o tratamento de senhas com caracteres especiais. No Kanban, ajustamos a autenticação por e-mail e senha e impedimos que a ausência da configuração de acesso do operador bloqueasse a inicialização de toda a aplicação.</w:t>
      </w:r>
    </w:p>
    <w:p>
      <w:pPr>
        <w:pStyle w:val="Heading1"/>
      </w:pPr>
      <w:r>
        <w:t>Envio e armazenamento de arquivos</w:t>
      </w:r>
    </w:p>
    <w:p>
      <w:r>
        <w:t>Estruturamos o envio direto dos arquivos do navegador para o armazenamento privado, utilizando uploads divididos em partes e com possibilidade de retomada após interrupções.</w:t>
      </w:r>
    </w:p>
    <w:p>
      <w:r>
        <w:t>Essa arquitetura permite trabalhar com arquivos grandes sem concentrar todo o tráfego de upload na VPS. A base do sistema também contempla controle de acesso aos arquivos, links temporários para download e acompanhamento do processamento.</w:t>
      </w:r>
    </w:p>
    <w:p>
      <w:r>
        <w:t>Mantivemos os mecanismos de quarentena e verificação por antivírus, para que o recebimento de um arquivo não signifique sua liberação automática para utilização.</w:t>
      </w:r>
    </w:p>
    <w:p>
      <w:pPr>
        <w:pStyle w:val="Heading1"/>
      </w:pPr>
      <w:r>
        <w:t>Correção da montagem de artes no Site</w:t>
      </w:r>
    </w:p>
    <w:p>
      <w:r>
        <w:t>Corrigimos o principal problema identificado na experiência de envio de imagens: arquivos JPG e PNG comuns estavam sendo interpretados como folhas completas, dimensionadas automaticamente para a largura do filme.</w:t>
      </w:r>
    </w:p>
    <w:p>
      <w:pPr>
        <w:keepNext/>
      </w:pPr>
      <w:r>
        <w:t>Agora, imagens comuns entram no fluxo de Artes avulsas, no qual o cliente pode:</w:t>
      </w:r>
    </w:p>
    <w:p>
      <w:pPr>
        <w:pStyle w:val="ReportBullet"/>
        <w:keepNext/>
        <w:numPr>
          <w:ilvl w:val="0"/>
          <w:numId w:val="90"/>
        </w:numPr>
      </w:pPr>
      <w:r>
        <w:t>Visualizar cada arquivo na lista de artes.</w:t>
      </w:r>
    </w:p>
    <w:p>
      <w:pPr>
        <w:pStyle w:val="ReportBullet"/>
        <w:keepNext/>
        <w:numPr>
          <w:ilvl w:val="0"/>
          <w:numId w:val="90"/>
        </w:numPr>
      </w:pPr>
      <w:r>
        <w:t>Informar a largura real de impressão em centímetros.</w:t>
      </w:r>
    </w:p>
    <w:p>
      <w:pPr>
        <w:pStyle w:val="ReportBullet"/>
        <w:keepNext/>
        <w:numPr>
          <w:ilvl w:val="0"/>
          <w:numId w:val="90"/>
        </w:numPr>
      </w:pPr>
      <w:r>
        <w:t>Definir a quantidade de cópias.</w:t>
      </w:r>
    </w:p>
    <w:p>
      <w:pPr>
        <w:pStyle w:val="ReportBullet"/>
        <w:keepNext/>
        <w:numPr>
          <w:ilvl w:val="0"/>
          <w:numId w:val="90"/>
        </w:numPr>
      </w:pPr>
      <w:r>
        <w:t>Girar e espelhar a imagem.</w:t>
      </w:r>
    </w:p>
    <w:p>
      <w:pPr>
        <w:pStyle w:val="ReportBullet"/>
        <w:keepNext w:val="0"/>
        <w:numPr>
          <w:ilvl w:val="0"/>
          <w:numId w:val="90"/>
        </w:numPr>
      </w:pPr>
      <w:r>
        <w:t>Acompanhar a montagem ao vivo no filme DTF de 57 cm.</w:t>
      </w:r>
    </w:p>
    <w:p>
      <w:r>
        <w:t>A montagem utiliza o mecanismo de encaixe existente, posicionando as cópias lado a lado e distribuindo-as em novas linhas conforme necessário. Foram preservadas a proporção das imagens, a regra de espaçamento de 5 mm, a régua do filme e a marca-d’água.</w:t>
      </w:r>
    </w:p>
    <w:p>
      <w:r>
        <w:t>O cálculo da metragem acompanha a altura da montagem apresentada. Também corrigimos a aplicação de rotação e espelhamento nas máscaras utilizadas pelo encaixe e evitamos que processamentos antigos sobrescrevessem uma prévia mais recente.</w:t>
      </w:r>
    </w:p>
    <w:p>
      <w:r>
        <w:t>O fluxo de Arquivo por metro permanece separado, com seleção explícita para imagens que já representam uma folha montada e manutenção de sua precificação específica.</w:t>
      </w:r>
    </w:p>
    <w:p>
      <w:pPr>
        <w:pStyle w:val="Heading1"/>
      </w:pPr>
      <w:r>
        <w:t>Preservação das regras comerciais e de segurança</w:t>
      </w:r>
    </w:p>
    <w:p>
      <w:r>
        <w:t>Os ajustes mantiveram as regras comerciais existentes, incluindo as tabelas por modalidade, as faixas de qualidade, os valores de montagem, o mínimo de um metro e o arredondamento de cobrança.</w:t>
      </w:r>
    </w:p>
    <w:p>
      <w:r>
        <w:t>Também preservamos os controles de segurança, a verificação dos uploads e o visual do Site.</w:t>
      </w:r>
    </w:p>
    <w:p>
      <w:pPr>
        <w:pStyle w:val="Heading1"/>
      </w:pPr>
      <w:r>
        <w:t>Testes e versionamento</w:t>
      </w:r>
    </w:p>
    <w:p>
      <w:r>
        <w:t>Validamos a montagem no navegador com arquivos JPG e PNG, incluindo a imagem de teste fornecida. Foram conferidos o posicionamento das cópias, as alterações de tamanho e quantidade, a rotação, o espelhamento e a correspondência entre a prévia e a metragem calculada.</w:t>
      </w:r>
    </w:p>
    <w:p>
      <w:r>
        <w:t>Os testes de precificação passaram, e a imagem web de produção foi construída com sucesso. A correção foi registrada no Git no commit 99fd92b, permitindo sua publicação pelo fluxo de atualização do projeto.</w:t>
      </w:r>
    </w:p>
    <w:p>
      <w:pPr>
        <w:pStyle w:val="Heading1"/>
      </w:pPr>
      <w:r>
        <w:t>Próxima etapa</w:t>
      </w:r>
    </w:p>
    <w:p>
      <w:r>
        <w:t>Com o encerramento da primeira semana, o foco passa para a segunda: integração com Mercado Pago, cotação de frete, criação de pedidos no Tiny/Olist, geração do arquivo final de impressão e consolidação dos principais estados do fluxo de produção no Kanban.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ReportFurniture"/>
      <w:jc w:val="right"/>
    </w:pPr>
    <w:r>
      <w:t xml:space="preserve">Relatório de atividades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ReportFurniture"/>
    </w:pPr>
    <w:r>
      <w:t>DROPSTAR / ALTUS  |  PROJETO DTF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0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  <w:spacing w:before="0" w:after="160" w:line="280" w:lineRule="auto"/>
      </w:pPr>
    </w:lvl>
  </w:abstract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64" w:lineRule="auto"/>
      <w:jc w:val="left"/>
    </w:pPr>
    <w:rPr>
      <w:rFonts w:ascii="Calibri" w:hAnsi="Calibri"/>
      <w:b w:val="0"/>
      <w:i w:val="0"/>
      <w:color w:val="222222"/>
      <w:sz w:val="22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20" w:after="160" w:line="264" w:lineRule="auto"/>
      <w:jc w:val="left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2E74B5"/>
      <w:sz w:val="32"/>
      <w:szCs w:val="28"/>
      <w:lang w:val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20" w:line="264" w:lineRule="auto"/>
      <w:jc w:val="left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2E74B5"/>
      <w:sz w:val="26"/>
      <w:szCs w:val="26"/>
      <w:lang w:val="pt-B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64" w:lineRule="auto"/>
      <w:jc w:val="left"/>
      <w:outlineLvl w:val="2"/>
    </w:pPr>
    <w:rPr>
      <w:rFonts w:asciiTheme="majorHAnsi" w:eastAsiaTheme="majorEastAsia" w:hAnsiTheme="majorHAnsi" w:cstheme="majorBidi" w:ascii="Calibri" w:hAnsi="Calibri"/>
      <w:b/>
      <w:bCs/>
      <w:i w:val="0"/>
      <w:color w:val="1F4D78"/>
      <w:sz w:val="24"/>
      <w:lang w:val="pt-B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80" w:line="264" w:lineRule="auto" w:before="0"/>
      <w:contextualSpacing/>
      <w:jc w:val="left"/>
    </w:pPr>
    <w:rPr>
      <w:rFonts w:asciiTheme="majorHAnsi" w:eastAsiaTheme="majorEastAsia" w:hAnsiTheme="majorHAnsi" w:cstheme="majorBidi" w:ascii="Calibri" w:hAnsi="Calibri"/>
      <w:b/>
      <w:i w:val="0"/>
      <w:color w:val="0B2545"/>
      <w:spacing w:val="5"/>
      <w:kern w:val="28"/>
      <w:sz w:val="50"/>
      <w:szCs w:val="52"/>
      <w:lang w:val="pt-B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80" w:line="264" w:lineRule="auto"/>
      <w:jc w:val="left"/>
    </w:pPr>
    <w:rPr>
      <w:rFonts w:asciiTheme="majorHAnsi" w:eastAsiaTheme="majorEastAsia" w:hAnsiTheme="majorHAnsi" w:cstheme="majorBidi" w:ascii="Calibri" w:hAnsi="Calibri"/>
      <w:b w:val="0"/>
      <w:i w:val="0"/>
      <w:iCs/>
      <w:color w:val="555555"/>
      <w:spacing w:val="15"/>
      <w:sz w:val="26"/>
      <w:szCs w:val="24"/>
      <w:lang w:val="pt-B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Furniture">
    <w:name w:val="Report Furniture"/>
    <w:pPr>
      <w:widowControl/>
      <w:spacing w:before="0" w:after="0" w:line="240" w:lineRule="auto"/>
      <w:jc w:val="left"/>
    </w:pPr>
    <w:rPr>
      <w:rFonts w:ascii="Calibri" w:hAnsi="Calibri"/>
      <w:b w:val="0"/>
      <w:i w:val="0"/>
      <w:color w:val="666666"/>
      <w:sz w:val="18"/>
      <w:lang w:val="pt-BR"/>
    </w:rPr>
  </w:style>
  <w:style w:type="paragraph" w:customStyle="1" w:styleId="ReportBullet">
    <w:name w:val="Report Bullet"/>
    <w:pPr>
      <w:widowControl/>
      <w:tabs>
        <w:tab w:pos="720" w:val="left"/>
      </w:tabs>
      <w:spacing w:before="0" w:after="160" w:line="280" w:lineRule="auto"/>
      <w:ind w:left="720" w:hanging="360"/>
      <w:jc w:val="left"/>
    </w:pPr>
    <w:rPr>
      <w:rFonts w:ascii="Calibri" w:hAnsi="Calibri"/>
      <w:b w:val="0"/>
      <w:i w:val="0"/>
      <w:color w:val="222222"/>
      <w:sz w:val="22"/>
      <w:lang w:val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atividades - Conclusão da primeira semana do projeto DTF</dc:title>
  <dc:subject>Infraestrutura, uploads e evolução do Site DTF</dc:subject>
  <dc:creator/>
  <cp:keywords>DTF, semana 1, infraestrutura, uploads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