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320"/>
      </w:pPr>
      <w:r>
        <w:rPr>
          <w:rFonts w:ascii="Calibri" w:cs="Calibri" w:eastAsia="Calibri" w:hAnsi="Calibri"/>
          <w:b/>
          <w:bCs/>
          <w:color w:val="1F3864"/>
          <w:sz w:val="36"/>
          <w:szCs w:val="36"/>
        </w:rPr>
        <w:t xml:space="preserve">Relatório de atividades — Conclusão da primeira semana do projeto DTF</w:t>
      </w:r>
    </w:p>
    <w:p>
      <w:pPr>
        <w:spacing w:after="160" w:line="276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Desde sexta-feira, avançamos na implantação da infraestrutura, na preparação do fluxo de envio de arquivos e nos ajustes da experiência do cliente no Site DTF. Com a confirmação da equipe sobre o funcionamento dos itens de infraestrutura e operação, consideramos concluída a primeira semana do projeto, dedicada à infraestrutura, aos uploads e à base dos serviços.</w:t>
      </w:r>
    </w:p>
    <w:p>
      <w:pPr>
        <w:pStyle w:val="Heading1"/>
        <w:spacing w:after="160" w:before="360"/>
      </w:pPr>
      <w:r>
        <w:rPr>
          <w:rFonts w:ascii="Calibri" w:cs="Calibri" w:eastAsia="Calibri" w:hAnsi="Calibri"/>
          <w:b/>
          <w:bCs/>
          <w:color w:val="1F3864"/>
          <w:sz w:val="28"/>
          <w:szCs w:val="28"/>
        </w:rPr>
        <w:t xml:space="preserve">Infraestrutura e publicação</w:t>
      </w:r>
    </w:p>
    <w:p>
      <w:pPr>
        <w:spacing w:after="160" w:line="276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Organizamos a estrutura que sustenta o Site DTF, o Kanban, a API, o banco de dados, o processamento em segundo plano e o antivírus, com armazenamento dos arquivos no Cloudflare R2.</w:t>
      </w:r>
    </w:p>
    <w:p>
      <w:pPr>
        <w:spacing w:after="160" w:line="276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Também ajustamos a configuração de publicação pelo Gitea e pelo Portainer. Foram corrigidos problemas de inicialização dos serviços web e de comunicação durante a atualização da API, aumentando a estabilidade das publicações.</w:t>
      </w:r>
    </w:p>
    <w:p>
      <w:pPr>
        <w:spacing w:after="160" w:line="276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Na configuração do banco de dados, corrigimos o tratamento de senhas com caracteres especiais. No Kanban, ajustamos a autenticação por e-mail e senha e impedimos que a ausência da configuração de acesso do operador bloqueasse a inicialização de toda a aplicação.</w:t>
      </w:r>
    </w:p>
    <w:p>
      <w:pPr>
        <w:pStyle w:val="Heading1"/>
        <w:spacing w:after="160" w:before="360"/>
      </w:pPr>
      <w:r>
        <w:rPr>
          <w:rFonts w:ascii="Calibri" w:cs="Calibri" w:eastAsia="Calibri" w:hAnsi="Calibri"/>
          <w:b/>
          <w:bCs/>
          <w:color w:val="1F3864"/>
          <w:sz w:val="28"/>
          <w:szCs w:val="28"/>
        </w:rPr>
        <w:t xml:space="preserve">Envio e armazenamento de arquivos</w:t>
      </w:r>
    </w:p>
    <w:p>
      <w:pPr>
        <w:spacing w:after="160" w:line="276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Estruturamos o envio direto dos arquivos do navegador para o armazenamento privado, utilizando uploads divididos em partes e com possibilidade de retomada após interrupções.</w:t>
      </w:r>
    </w:p>
    <w:p>
      <w:pPr>
        <w:spacing w:after="160" w:line="276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Essa arquitetura permite trabalhar com arquivos grandes sem concentrar todo o tráfego de upload na VPS. A base do sistema também contempla controle de acesso aos arquivos, links temporários para download e acompanhamento do processamento.</w:t>
      </w:r>
    </w:p>
    <w:p>
      <w:pPr>
        <w:spacing w:after="160" w:line="276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Mantivemos os mecanismos de quarentena e verificação por antivírus, para que o recebimento de um arquivo não signifique sua liberação automática para utilização.</w:t>
      </w:r>
    </w:p>
    <w:p>
      <w:pPr>
        <w:pStyle w:val="Heading1"/>
        <w:spacing w:after="160" w:before="360"/>
      </w:pPr>
      <w:r>
        <w:rPr>
          <w:rFonts w:ascii="Calibri" w:cs="Calibri" w:eastAsia="Calibri" w:hAnsi="Calibri"/>
          <w:b/>
          <w:bCs/>
          <w:color w:val="1F3864"/>
          <w:sz w:val="28"/>
          <w:szCs w:val="28"/>
        </w:rPr>
        <w:t xml:space="preserve">Correção da montagem de artes no Site</w:t>
      </w:r>
    </w:p>
    <w:p>
      <w:pPr>
        <w:spacing w:after="160" w:line="276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Corrigimos o principal problema identificado na experiência de envio de imagens: arquivos JPG e PNG comuns estavam sendo interpretados como folhas completas, dimensionadas automaticamente para a largura do filme.</w:t>
      </w:r>
    </w:p>
    <w:p>
      <w:pPr>
        <w:spacing w:after="160" w:line="276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Agora, imagens comuns entram no fluxo de </w:t>
      </w:r>
      <w:r>
        <w:rPr>
          <w:rFonts w:ascii="Calibri" w:cs="Calibri" w:eastAsia="Calibri" w:hAnsi="Calibri"/>
          <w:b/>
          <w:bCs/>
          <w:sz w:val="22"/>
          <w:szCs w:val="22"/>
        </w:rPr>
        <w:t xml:space="preserve">Artes avulsas</w:t>
      </w:r>
      <w:r>
        <w:rPr>
          <w:rFonts w:ascii="Calibri" w:cs="Calibri" w:eastAsia="Calibri" w:hAnsi="Calibri"/>
          <w:sz w:val="22"/>
          <w:szCs w:val="22"/>
        </w:rPr>
        <w:t xml:space="preserve">, no qual o cliente pode: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Visualizar cada arquivo na lista de artes.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Informar a largura real de impressão em centímetros.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Definir a quantidade de cópias.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Girar e espelhar a imagem.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Acompanhar a montagem ao vivo no filme DTF de 57 cm.</w:t>
      </w:r>
    </w:p>
    <w:p>
      <w:pPr>
        <w:spacing w:after="160" w:before="160" w:line="276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A montagem utiliza o mecanismo de encaixe existente, posicionando as cópias lado a lado e distribuindo-as em novas linhas conforme necessário. Foram preservadas a proporção das imagens, a regra de espaçamento de 5 mm, a régua do filme e a marca-d’água.</w:t>
      </w:r>
    </w:p>
    <w:p>
      <w:pPr>
        <w:spacing w:after="160" w:line="276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O cálculo da metragem acompanha a altura da montagem apresentada. Também corrigimos a aplicação de rotação e espelhamento nas máscaras utilizadas pelo encaixe e evitamos que processamentos antigos sobrescrevessem uma prévia mais recente.</w:t>
      </w:r>
    </w:p>
    <w:p>
      <w:pPr>
        <w:spacing w:after="160" w:line="276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O fluxo de </w:t>
      </w:r>
      <w:r>
        <w:rPr>
          <w:rFonts w:ascii="Calibri" w:cs="Calibri" w:eastAsia="Calibri" w:hAnsi="Calibri"/>
          <w:b/>
          <w:bCs/>
          <w:sz w:val="22"/>
          <w:szCs w:val="22"/>
        </w:rPr>
        <w:t xml:space="preserve">Arquivo por metro</w:t>
      </w:r>
      <w:r>
        <w:rPr>
          <w:rFonts w:ascii="Calibri" w:cs="Calibri" w:eastAsia="Calibri" w:hAnsi="Calibri"/>
          <w:sz w:val="22"/>
          <w:szCs w:val="22"/>
        </w:rPr>
        <w:t xml:space="preserve"> permanece com a sua precificação específica e passou a ter entrada própria e explícita. Ao abrir o produto, o cliente escolhe entre </w:t>
      </w:r>
      <w:r>
        <w:rPr>
          <w:rFonts w:ascii="Calibri" w:cs="Calibri" w:eastAsia="Calibri" w:hAnsi="Calibri"/>
          <w:b/>
          <w:bCs/>
          <w:sz w:val="22"/>
          <w:szCs w:val="22"/>
        </w:rPr>
        <w:t xml:space="preserve">folha já montada</w:t>
      </w:r>
      <w:r>
        <w:rPr>
          <w:rFonts w:ascii="Calibri" w:cs="Calibri" w:eastAsia="Calibri" w:hAnsi="Calibri"/>
          <w:sz w:val="22"/>
          <w:szCs w:val="22"/>
        </w:rPr>
        <w:t xml:space="preserve"> e </w:t>
      </w:r>
      <w:r>
        <w:rPr>
          <w:rFonts w:ascii="Calibri" w:cs="Calibri" w:eastAsia="Calibri" w:hAnsi="Calibri"/>
          <w:b/>
          <w:bCs/>
          <w:sz w:val="22"/>
          <w:szCs w:val="22"/>
        </w:rPr>
        <w:t xml:space="preserve">artes separadas</w:t>
      </w:r>
      <w:r>
        <w:rPr>
          <w:rFonts w:ascii="Calibri" w:cs="Calibri" w:eastAsia="Calibri" w:hAnsi="Calibri"/>
          <w:sz w:val="22"/>
          <w:szCs w:val="22"/>
        </w:rPr>
        <w:t xml:space="preserve">, com o preço de cada opção à vista. A escolha pode ser trocada nos dois sentidos antes do envio e fica travada depois que o arquivo é anexado, de modo que nenhum pedido muda de produto ou de preço sem o cliente ver.</w:t>
      </w:r>
    </w:p>
    <w:p>
      <w:pPr>
        <w:spacing w:after="160" w:line="276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Quando o cliente declara folha montada, o Site confere se a imagem tem resolução para ocupar a largura do filme. Uma arte pequena declarada como folha é recusada, com a explicação e com um atalho para enviá-la como arte avulsa. Assim, uma imagem comum não é cobrada como folha, e as duas modalidades mantêm as suas tabelas.</w:t>
      </w:r>
    </w:p>
    <w:p>
      <w:pPr>
        <w:pStyle w:val="Heading1"/>
        <w:spacing w:after="160" w:before="360"/>
      </w:pPr>
      <w:r>
        <w:rPr>
          <w:rFonts w:ascii="Calibri" w:cs="Calibri" w:eastAsia="Calibri" w:hAnsi="Calibri"/>
          <w:b/>
          <w:bCs/>
          <w:color w:val="1F3864"/>
          <w:sz w:val="28"/>
          <w:szCs w:val="28"/>
        </w:rPr>
        <w:t xml:space="preserve">Preservação das regras comerciais e de segurança</w:t>
      </w:r>
    </w:p>
    <w:p>
      <w:pPr>
        <w:spacing w:after="160" w:line="276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Os ajustes mantiveram as regras comerciais existentes, incluindo as tabelas por modalidade, as faixas de qualidade, os valores de montagem, o mínimo de um metro e o arredondamento de cobrança.</w:t>
      </w:r>
    </w:p>
    <w:p>
      <w:pPr>
        <w:spacing w:after="160" w:line="276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Também preservamos os controles de segurança, a verificação dos uploads e o visual do Site.</w:t>
      </w:r>
    </w:p>
    <w:p>
      <w:pPr>
        <w:spacing w:after="160" w:line="276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Separamos as credenciais de aplicação e de administração do banco de dados, de modo que o serviço em produção opere apenas com as permissões de que precisa, e a separação passou a ser verificada automaticamente na inicialização.</w:t>
      </w:r>
    </w:p>
    <w:p>
      <w:pPr>
        <w:pStyle w:val="Heading1"/>
        <w:spacing w:after="160" w:before="360"/>
      </w:pPr>
      <w:r>
        <w:rPr>
          <w:rFonts w:ascii="Calibri" w:cs="Calibri" w:eastAsia="Calibri" w:hAnsi="Calibri"/>
          <w:b/>
          <w:bCs/>
          <w:color w:val="1F3864"/>
          <w:sz w:val="28"/>
          <w:szCs w:val="28"/>
        </w:rPr>
        <w:t xml:space="preserve">Testes e versionamento</w:t>
      </w:r>
    </w:p>
    <w:p>
      <w:pPr>
        <w:spacing w:after="160" w:line="276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Validamos a montagem no navegador com arquivos JPG e PNG, incluindo a imagem de teste fornecida. Foram conferidos o posicionamento das cópias, as alterações de tamanho e quantidade, a rotação, o espelhamento e a correspondência entre a prévia e a metragem calculada. Também conferimos a escolha entre folha montada e artes separadas, nos dois sentidos, e a recusa de uma imagem pequena declarada como folha.</w:t>
      </w:r>
    </w:p>
    <w:p>
      <w:pPr>
        <w:spacing w:after="160" w:line="276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Além da montagem, executamos a verificação completa do sistema em um ambiente equivalente ao de produção: envio de arquivos em partes com retomada, quarentena e liberação pelo antivírus, conferência de valores, criação do pedido, percurso completo das etapas no Kanban, downloads seguros e expiração de arquivos. Conferimos ainda o uso de senhas de banco com caracteres especiais e o comportamento do sistema quando a configuração de acesso do operador está ausente.</w:t>
      </w:r>
    </w:p>
    <w:p>
      <w:pPr>
        <w:spacing w:after="160" w:line="276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Os testes de precificação passaram e as imagens de produção do Site e da API foram construídas com sucesso. As correções estão registradas e prontas para publicação pelo fluxo de atualização do projeto.</w:t>
      </w:r>
    </w:p>
    <w:p>
      <w:pPr>
        <w:pStyle w:val="Heading1"/>
        <w:spacing w:after="160" w:before="360"/>
      </w:pPr>
      <w:r>
        <w:rPr>
          <w:rFonts w:ascii="Calibri" w:cs="Calibri" w:eastAsia="Calibri" w:hAnsi="Calibri"/>
          <w:b/>
          <w:bCs/>
          <w:color w:val="1F3864"/>
          <w:sz w:val="28"/>
          <w:szCs w:val="28"/>
        </w:rPr>
        <w:t xml:space="preserve">Situação da primeira semana</w:t>
      </w:r>
    </w:p>
    <w:p>
      <w:pPr>
        <w:spacing w:after="160" w:line="276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O quadro abaixo resume os itens previstos para a primeira semana e a situação de cada um.</w:t>
      </w:r>
    </w:p>
    <w:tbl>
      <w:tblPr>
        <w:tblW w:type="dxa" w:w="9070"/>
        <w:tblBorders>
          <w:top w:val="single" w:color="C7D0DC" w:sz="4"/>
          <w:left w:val="single" w:color="C7D0DC" w:sz="4"/>
          <w:bottom w:val="single" w:color="C7D0DC" w:sz="4"/>
          <w:right w:val="single" w:color="C7D0DC" w:sz="4"/>
          <w:insideH w:val="single" w:color="C7D0DC" w:sz="4"/>
          <w:insideV w:val="single" w:color="C7D0DC" w:sz="4"/>
        </w:tblBorders>
      </w:tblPr>
      <w:tblGrid>
        <w:gridCol w:w="6470"/>
        <w:gridCol w:w="2600"/>
      </w:tblGrid>
      <w:tr>
        <w:trPr>
          <w:tblHeader/>
        </w:trPr>
        <w:tc>
          <w:tcPr>
            <w:tcW w:type="dxa" w:w="6470"/>
            <w:shd w:fill="E8ED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1"/>
                <w:szCs w:val="21"/>
              </w:rPr>
              <w:t xml:space="preserve">Item</w:t>
            </w:r>
          </w:p>
        </w:tc>
        <w:tc>
          <w:tcPr>
            <w:tcW w:type="dxa" w:w="2600"/>
            <w:shd w:fill="E8ED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1"/>
                <w:szCs w:val="21"/>
              </w:rPr>
              <w:t xml:space="preserve">Situação</w:t>
            </w:r>
          </w:p>
        </w:tc>
      </w:tr>
      <w:tr>
        <w:tc>
          <w:tcPr>
            <w:tcW w:type="dxa" w:w="647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Infraestrutura, publicação e domínio</w:t>
            </w:r>
          </w:p>
        </w:tc>
        <w:tc>
          <w:tcPr>
            <w:tcW w:type="dxa" w:w="26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Concluído</w:t>
            </w:r>
          </w:p>
        </w:tc>
      </w:tr>
      <w:tr>
        <w:tc>
          <w:tcPr>
            <w:tcW w:type="dxa" w:w="647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Banco de dados</w:t>
            </w:r>
          </w:p>
        </w:tc>
        <w:tc>
          <w:tcPr>
            <w:tcW w:type="dxa" w:w="26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Concluído</w:t>
            </w:r>
          </w:p>
        </w:tc>
      </w:tr>
      <w:tr>
        <w:tc>
          <w:tcPr>
            <w:tcW w:type="dxa" w:w="647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Armazenamento dos arquivos no Cloudflare R2</w:t>
            </w:r>
          </w:p>
        </w:tc>
        <w:tc>
          <w:tcPr>
            <w:tcW w:type="dxa" w:w="26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Concluído</w:t>
            </w:r>
          </w:p>
        </w:tc>
      </w:tr>
      <w:tr>
        <w:tc>
          <w:tcPr>
            <w:tcW w:type="dxa" w:w="647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Envio de arquivos em partes, com retomada</w:t>
            </w:r>
          </w:p>
        </w:tc>
        <w:tc>
          <w:tcPr>
            <w:tcW w:type="dxa" w:w="26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Concluído</w:t>
            </w:r>
          </w:p>
        </w:tc>
      </w:tr>
      <w:tr>
        <w:tc>
          <w:tcPr>
            <w:tcW w:type="dxa" w:w="647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Antivírus, quarentena e retenção de arquivos</w:t>
            </w:r>
          </w:p>
        </w:tc>
        <w:tc>
          <w:tcPr>
            <w:tcW w:type="dxa" w:w="26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Concluído</w:t>
            </w:r>
          </w:p>
        </w:tc>
      </w:tr>
      <w:tr>
        <w:tc>
          <w:tcPr>
            <w:tcW w:type="dxa" w:w="647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Base dos serviços: Site, Kanban, API e processamento</w:t>
            </w:r>
          </w:p>
        </w:tc>
        <w:tc>
          <w:tcPr>
            <w:tcW w:type="dxa" w:w="26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Concluído</w:t>
            </w:r>
          </w:p>
        </w:tc>
      </w:tr>
      <w:tr>
        <w:tc>
          <w:tcPr>
            <w:tcW w:type="dxa" w:w="647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Montagem de artes e separação das modalidades no Site</w:t>
            </w:r>
          </w:p>
        </w:tc>
        <w:tc>
          <w:tcPr>
            <w:tcW w:type="dxa" w:w="26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Concluído</w:t>
            </w:r>
          </w:p>
        </w:tc>
      </w:tr>
    </w:tbl>
    <w:p>
      <w:pPr>
        <w:pStyle w:val="Heading1"/>
        <w:spacing w:after="160" w:before="360"/>
      </w:pPr>
      <w:r>
        <w:rPr>
          <w:rFonts w:ascii="Calibri" w:cs="Calibri" w:eastAsia="Calibri" w:hAnsi="Calibri"/>
          <w:b/>
          <w:bCs/>
          <w:color w:val="1F3864"/>
          <w:sz w:val="28"/>
          <w:szCs w:val="28"/>
        </w:rPr>
        <w:t xml:space="preserve">Próxima etapa</w:t>
      </w:r>
    </w:p>
    <w:p>
      <w:pPr>
        <w:spacing w:after="160" w:line="276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Com o encerramento da primeira semana, o foco passa para a segunda: integração com Mercado Pago, cotação de frete, criação de pedidos no Tiny/Olist, geração do arquivo final de impressão e consolidação dos principais estados do fluxo de produção no Kanban.</w:t>
      </w:r>
    </w:p>
    <w:sectPr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04" w:hanging="288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Relatório de atividades — Conclusão da primeira semana do projeto DTF</dc:title>
  <dc:creator>Cauê Faleiros</dc:creator>
  <cp:lastModifiedBy>Un-named</cp:lastModifiedBy>
  <cp:revision>1</cp:revision>
  <dcterms:created xsi:type="dcterms:W3CDTF">2026-09-18T21:25:56.928Z</dcterms:created>
  <dcterms:modified xsi:type="dcterms:W3CDTF">2026-09-18T21:25:56.940Z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